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F1942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841D67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54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A02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山东省济南市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届高三摸底考试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55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3E2208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56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P9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0B841D67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54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A02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山东省济南市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届高三摸底考试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55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3E2208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56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P9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0BF77F23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6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226F33C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64D1EFF3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]</w:t>
      </w:r>
    </w:p>
    <w:p w14:paraId="51B34116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</w:p>
    <w:p w14:paraId="57C14336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已知向量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满足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+λ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与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λ</w:t>
      </w:r>
      <w:r>
        <w:rPr>
          <w:rFonts w:hint="eastAsia" w:eastAsia="方正书宋_GBK"/>
        </w:rPr>
        <w:t>的值为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B937407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CF8DD36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记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8F42257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48</w:t>
      </w:r>
    </w:p>
    <w:p w14:paraId="09D14C8B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ln</w:t>
      </w:r>
      <w:r>
        <w:rPr>
          <w:rFonts w:hint="eastAsia" w:eastAsia="方正书宋_GBK"/>
          <w:vertAlign w:val="superscript"/>
        </w:rPr>
        <w:t xml:space="preserve"> 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则“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7574C61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充分不必要条件</w:t>
      </w:r>
    </w:p>
    <w:p w14:paraId="35FEAB43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必要不充分条件</w:t>
      </w:r>
    </w:p>
    <w:p w14:paraId="46247B03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既不充分也不必要条件</w:t>
      </w:r>
    </w:p>
    <w:p w14:paraId="2023CD3F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充要条件</w:t>
      </w:r>
    </w:p>
    <w:p w14:paraId="64EB8851">
      <w:pPr>
        <w:spacing w:line="410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分别为双曲线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的左、右焦点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的渐近线上一点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7AF2DDA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61F6D0B3">
      <w:pPr>
        <w:spacing w:line="410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</w:rPr>
        <w:t>的展开式中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的奇数次幂项的系数之和为</w:t>
      </w:r>
      <w:r>
        <w:rPr>
          <w:rFonts w:ascii="NEU-BZ-S92" w:hAnsi="NEU-BZ-S92"/>
        </w:rPr>
        <w:t>32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6149E1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2FA78BFA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+1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2DAAC87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250C793F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-∞,-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∞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3E80A17A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如图所示的六面体</w:t>
      </w:r>
      <w:r>
        <w:rPr>
          <w:rFonts w:ascii="NEU-BZ-S92" w:hAnsi="NEU-BZ-S92"/>
          <w:i/>
        </w:rPr>
        <w:t>ABCDEF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BFC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AED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AE=BF=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ED=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8E485AD">
      <w:pPr>
        <w:spacing w:line="410" w:lineRule="atLeast"/>
        <w:jc w:val="center"/>
      </w:pPr>
      <w:r>
        <w:drawing>
          <wp:inline distT="0" distB="0" distL="0" distR="0">
            <wp:extent cx="1459865" cy="469265"/>
            <wp:effectExtent l="0" t="0" r="6985" b="6985"/>
            <wp:docPr id="57" name="26sx2.jpg" descr="id:21474897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26sx2.jpg" descr="id:214748973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0160" cy="4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780B0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2E2E6CD4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319935BB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3AAC1A4C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是复数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则下列命题正确的有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C70948D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z+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z</m:t>
            </m:r>
          </m:e>
        </m:bar>
      </m:oMath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ab/>
      </w:r>
    </w:p>
    <w:p w14:paraId="608F73D6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z</w:t>
      </w:r>
      <w:r>
        <w:rPr>
          <w:rFonts w:hint="eastAsia" w:eastAsia="NEU-BZ-S92"/>
        </w:rPr>
        <w:t>·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z</m:t>
            </m:r>
          </m:e>
        </m:bar>
      </m:oMath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</w:p>
    <w:p w14:paraId="2D7A4141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|z|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=z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ab/>
      </w:r>
    </w:p>
    <w:p w14:paraId="0448966C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|z|=|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z</m:t>
            </m:r>
          </m:e>
        </m:bar>
      </m:oMath>
      <w:r>
        <w:rPr>
          <w:rFonts w:ascii="NEU-BZ-S92" w:hAnsi="NEU-BZ-S92"/>
          <w:i/>
        </w:rPr>
        <w:t>|</w:t>
      </w:r>
    </w:p>
    <w:p w14:paraId="4FD03E8F">
      <w:pPr>
        <w:spacing w:line="410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C-B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C-A</w:t>
      </w:r>
      <w:r>
        <w:rPr>
          <w:rFonts w:ascii="方正书宋_GBK" w:hAnsi="方正书宋_GBK"/>
        </w:rPr>
        <w:t>),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0FD2A7C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41533945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AB=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810A8BD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满足</w:t>
      </w:r>
      <w:r>
        <w:rPr>
          <w:rFonts w:ascii="NEU-BZ-S92" w:hAnsi="NEU-BZ-S92"/>
        </w:rPr>
        <w:t>3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F7033E4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OP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</w:p>
    <w:p w14:paraId="311F5159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</w:p>
    <w:p w14:paraId="74A1A200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相切时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OP=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0A1DCA54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存在线段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OAB</w:t>
      </w:r>
      <w:r>
        <w:rPr>
          <w:rFonts w:hint="eastAsia" w:eastAsia="方正书宋_GBK"/>
        </w:rPr>
        <w:t>内心在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外部</w:t>
      </w: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626BBA82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若一组样本数据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10</w:t>
      </w:r>
      <w:r>
        <w:rPr>
          <w:rFonts w:hint="eastAsia" w:eastAsia="方正书宋_GBK"/>
        </w:rPr>
        <w:t>的平均数为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则数据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的平均数为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1B3E148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在四棱台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设四棱台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的体积为</w:t>
      </w:r>
      <w:r>
        <w:rPr>
          <w:rFonts w:ascii="NEU-BZ-S92" w:hAnsi="NEU-BZ-S92"/>
          <w:i/>
        </w:rPr>
        <w:t>V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三棱锥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的体积为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0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V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9011560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888A974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24B85A58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53CBACE">
      <w:pPr>
        <w:spacing w:line="410" w:lineRule="atLeast"/>
      </w:pPr>
      <w:r>
        <w:rPr>
          <w:rFonts w:hint="eastAsia" w:eastAsia="方正书宋_GBK"/>
        </w:rPr>
        <w:t>已知正项数列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项积为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F0B74A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为等差数列</w:t>
      </w:r>
      <w:r>
        <w:rPr>
          <w:rFonts w:ascii="方正书宋_GBK" w:hAnsi="方正书宋_GBK"/>
        </w:rPr>
        <w:t>;</w:t>
      </w:r>
    </w:p>
    <w:p w14:paraId="3AE9C504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令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·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+1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0EB1C924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774A018">
      <w:pPr>
        <w:spacing w:line="410" w:lineRule="exact"/>
      </w:pPr>
      <w:r>
        <w:rPr>
          <w:rFonts w:hint="eastAsia" w:eastAsia="方正书宋_GBK"/>
        </w:rPr>
        <w:t>有四个相同的小球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分别标有数字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将这些小球随机排成一列</w:t>
      </w:r>
      <w:r>
        <w:rPr>
          <w:rFonts w:ascii="NEU-BZ-S92" w:hAnsi="NEU-BZ-S92"/>
          <w:i/>
        </w:rPr>
        <w:t>.</w:t>
      </w:r>
    </w:p>
    <w:p w14:paraId="623C543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求标有数字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的小球不相邻的概率</w:t>
      </w:r>
      <w:r>
        <w:rPr>
          <w:rFonts w:ascii="方正书宋_GBK" w:hAnsi="方正书宋_GBK"/>
        </w:rPr>
        <w:t>;</w:t>
      </w:r>
    </w:p>
    <w:p w14:paraId="66BA268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一个排列中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若两个相邻小球上的数字之和为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则称这两个小球为一组“友好球”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表示排列中“友好球”的组数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的分布列和数学期望</w:t>
      </w:r>
      <w:r>
        <w:rPr>
          <w:rFonts w:ascii="NEU-BZ-S92" w:hAnsi="NEU-BZ-S92"/>
          <w:i/>
        </w:rPr>
        <w:t>.</w:t>
      </w:r>
    </w:p>
    <w:p w14:paraId="43580CED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8B09060">
      <w:pPr>
        <w:spacing w:line="410" w:lineRule="atLeas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的底面是边长为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的菱形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ABC=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PA=PC=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3F54078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PD</w:t>
      </w:r>
      <w:r>
        <w:rPr>
          <w:rFonts w:ascii="方正书宋_GBK" w:hAnsi="方正书宋_GBK"/>
        </w:rPr>
        <w:t>;</w:t>
      </w:r>
    </w:p>
    <w:p w14:paraId="79A662BC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若直线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PD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PB&lt;PD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所成角的余弦值</w:t>
      </w:r>
      <w:r>
        <w:rPr>
          <w:rFonts w:ascii="NEU-BZ-S92" w:hAnsi="NEU-BZ-S92"/>
          <w:i/>
        </w:rPr>
        <w:t>.</w:t>
      </w:r>
    </w:p>
    <w:p w14:paraId="63B273E8">
      <w:pPr>
        <w:spacing w:line="410" w:lineRule="atLeast"/>
        <w:jc w:val="center"/>
      </w:pPr>
      <w:r>
        <w:drawing>
          <wp:inline distT="0" distB="0" distL="0" distR="0">
            <wp:extent cx="1386205" cy="508635"/>
            <wp:effectExtent l="0" t="0" r="4445" b="5715"/>
            <wp:docPr id="58" name="26sx3.jpg" descr="id:21474897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26sx3.jpg" descr="id:214748974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6720" cy="5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B17F3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51DBCC">
      <w:pPr>
        <w:spacing w:line="410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-ax.</w:t>
      </w:r>
    </w:p>
    <w:p w14:paraId="77750B8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讨论函数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的极值点个数</w:t>
      </w:r>
      <w:r>
        <w:rPr>
          <w:rFonts w:ascii="NEU-BZ-S92" w:hAnsi="NEU-BZ-S92"/>
          <w:i/>
        </w:rPr>
        <w:t>.</w:t>
      </w:r>
    </w:p>
    <w:p w14:paraId="64F90075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有两个不同的极值点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</w:p>
    <w:p w14:paraId="6E3106D6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</w:p>
    <w:p w14:paraId="27F585BB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5BBECD94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202241">
      <w:pPr>
        <w:spacing w:line="410" w:lineRule="exact"/>
      </w:pPr>
      <w:r>
        <w:rPr>
          <w:rFonts w:hint="eastAsia" w:eastAsia="方正书宋_GBK"/>
        </w:rPr>
        <w:t>已知抛物线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是抛物线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上第一象限内的一点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且点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到点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距离与点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的距离相等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的切线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轴于点</w:t>
      </w:r>
      <w:r>
        <w:rPr>
          <w:rFonts w:ascii="NEU-BZ-S92" w:hAnsi="NEU-BZ-S92"/>
          <w:i/>
        </w:rPr>
        <w:t>M.</w:t>
      </w:r>
    </w:p>
    <w:p w14:paraId="66BDCF4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的标准方程</w:t>
      </w:r>
      <w:r>
        <w:rPr>
          <w:rFonts w:ascii="NEU-BZ-S92" w:hAnsi="NEU-BZ-S92"/>
          <w:i/>
        </w:rPr>
        <w:t>.</w:t>
      </w:r>
    </w:p>
    <w:p w14:paraId="1267CFD2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</w:p>
    <w:p w14:paraId="5E9A8408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记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轴的对称点为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轴的对称直线为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为抛物线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上第四象限内的一点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不重合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做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的切线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分别交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PFM=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PQF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FQ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FM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试判断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是否为定值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若为定值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若不为定值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735365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E3C84"/>
    <w:rsid w:val="3D2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1303</Words>
  <Characters>2014</Characters>
  <Lines>0</Lines>
  <Paragraphs>0</Paragraphs>
  <TotalTime>0</TotalTime>
  <ScaleCrop>false</ScaleCrop>
  <LinksUpToDate>false</LinksUpToDate>
  <CharactersWithSpaces>2180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2025-05-28T08:16:00Z</dcterms:created>
  <dc:creator>Administrator</dc:creator>
  <cp:lastModifiedBy>【       】</cp:lastModifiedBy>
  <dcterms:modified xsi:type="dcterms:W3CDTF">2026-05-11T03:17:53Z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A70D01101E4A4D91979F8B676D9461B0_12</vt:lpwstr>
  </property>
</Properties>
</file>