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A331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D09D8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89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B08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江苏省南通市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届高三学业质量监测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90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4B9CF2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91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P44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3C9D09D8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89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B08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江苏省南通市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届高三学业质量监测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90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4B9CF2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91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P44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45447EE6">
      <w:pPr>
        <w:spacing w:line="438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68ACA0C">
      <w:pPr>
        <w:spacing w:line="438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9969B3F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</w:p>
    <w:p w14:paraId="6956A219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</w:p>
    <w:p w14:paraId="02F756B1">
      <w:pPr>
        <w:spacing w:line="438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3D35520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</w:p>
    <w:p w14:paraId="164EA03C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</w:p>
    <w:p w14:paraId="665A9060">
      <w:pPr>
        <w:spacing w:line="438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DC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BE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EA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2E2E9E">
      <w:pPr>
        <w:spacing w:line="438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</w:p>
    <w:p w14:paraId="11185B95">
      <w:pPr>
        <w:spacing w:line="438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</w:p>
    <w:p w14:paraId="5F665A8A">
      <w:pPr>
        <w:spacing w:line="438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“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=ac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成等比数列”的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31A738A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36A12492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7739EE8E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1DEA593A">
      <w:pPr>
        <w:spacing w:line="43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261E1C08">
      <w:pPr>
        <w:spacing w:line="438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用一个与圆柱底面成</w:t>
      </w:r>
      <w:r>
        <w:rPr>
          <w:rFonts w:ascii="NEU-BZ-S92" w:hAnsi="NEU-BZ-S92"/>
        </w:rPr>
        <w:t>30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角的平面截这个圆柱得到一个椭圆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则该椭圆的离心率为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69474C0">
      <w:pPr>
        <w:spacing w:line="438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31DC8D8">
      <w:pPr>
        <w:spacing w:line="438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DD78BB0">
      <w:pPr>
        <w:spacing w:line="438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某生物学兴趣小组对某地同种成年向日葵的株高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进行了测量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发现株高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近似服从正态分布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已知测量的向日葵平均株高为</w:t>
      </w:r>
      <w:r>
        <w:rPr>
          <w:rFonts w:ascii="NEU-BZ-S92" w:hAnsi="NEU-BZ-S92"/>
        </w:rPr>
        <w:t>172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标准差为</w:t>
      </w:r>
      <w:r>
        <w:rPr>
          <w:rFonts w:ascii="NEU-BZ-S92" w:hAnsi="NEU-BZ-S92"/>
        </w:rPr>
        <w:t>14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现按株高将这批向日葵划分为四个等级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过矮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后</w:t>
      </w:r>
      <w:r>
        <w:rPr>
          <w:rFonts w:ascii="NEU-BZ-S92" w:hAnsi="NEU-BZ-S92"/>
        </w:rPr>
        <w:t>10%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、正常偏矮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10%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50%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、正常偏高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50%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90%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、过高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10%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H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172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0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14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≤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.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28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则“过高”等级中最矮株高可能为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31A6B6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</w:p>
    <w:p w14:paraId="3A78B76A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190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cm</w:t>
      </w:r>
    </w:p>
    <w:p w14:paraId="75BE68BB">
      <w:pPr>
        <w:spacing w:line="438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e>
              <m:sup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则下列函数中为奇函数的是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675CBF2">
      <w:pPr>
        <w:spacing w:line="438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FFA0A3F">
      <w:pPr>
        <w:spacing w:line="438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CCC31F5">
      <w:pPr>
        <w:spacing w:line="438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已知四棱锥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为球心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为半径的球面与侧面</w:t>
      </w:r>
      <w:r>
        <w:rPr>
          <w:rFonts w:ascii="NEU-BZ-S92" w:hAnsi="NEU-BZ-S92"/>
          <w:i/>
        </w:rPr>
        <w:t>SCD</w:t>
      </w:r>
      <w:r>
        <w:rPr>
          <w:rFonts w:hint="eastAsia" w:eastAsia="方正书宋_GBK"/>
        </w:rPr>
        <w:t>的交线长为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6481D3">
      <w:pPr>
        <w:spacing w:line="438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2π</w:t>
      </w:r>
    </w:p>
    <w:p w14:paraId="1CCC4FE4">
      <w:pPr>
        <w:spacing w:line="438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FCACBD7">
      <w:pPr>
        <w:spacing w:line="438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=z</w:t>
      </w:r>
      <w:r>
        <w:rPr>
          <w:rFonts w:ascii="NEU-BZ-S92" w:hAnsi="NEU-BZ-S92"/>
          <w:vertAlign w:val="super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的大小关系可能是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12EB73C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x&lt;z&lt;y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x&lt;y&lt;z</w:t>
      </w:r>
    </w:p>
    <w:p w14:paraId="109E5A1C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y&lt;x&lt;z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z&lt;y&lt;x</w:t>
      </w:r>
    </w:p>
    <w:p w14:paraId="6F9A01A0">
      <w:pPr>
        <w:spacing w:line="438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作垂直于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轴的直线交双曲线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AF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的斜率是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的周长是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3C20B4B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</w:p>
    <w:p w14:paraId="2B5780EC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的实轴长是</w:t>
      </w:r>
      <w:r>
        <w:rPr>
          <w:rFonts w:ascii="NEU-BZ-S92" w:hAnsi="NEU-BZ-S92"/>
        </w:rPr>
        <w:t>2</w:t>
      </w:r>
    </w:p>
    <w:p w14:paraId="64652D32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的面积是</w:t>
      </w:r>
      <w:r>
        <w:rPr>
          <w:rFonts w:ascii="NEU-BZ-S92" w:hAnsi="NEU-BZ-S92"/>
        </w:rPr>
        <w:t>12</w:t>
      </w:r>
    </w:p>
    <w:p w14:paraId="1B4BBFB6">
      <w:pPr>
        <w:spacing w:line="438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的外接圆半径是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78AED08">
      <w:pPr>
        <w:spacing w:line="438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+1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为“均增数列”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9D2F1BB">
      <w:pPr>
        <w:spacing w:line="438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是“均增数列”</w:t>
      </w:r>
    </w:p>
    <w:p w14:paraId="5702512F">
      <w:pPr>
        <w:spacing w:line="438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是“均增数列”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则公差</w:t>
      </w:r>
      <w:r>
        <w:rPr>
          <w:rFonts w:ascii="NEU-BZ-S92" w:hAnsi="NEU-BZ-S92"/>
          <w:i/>
        </w:rPr>
        <w:t>d&gt;</w:t>
      </w:r>
      <w:r>
        <w:rPr>
          <w:rFonts w:ascii="NEU-BZ-S92" w:hAnsi="NEU-BZ-S92"/>
        </w:rPr>
        <w:t>0</w:t>
      </w:r>
    </w:p>
    <w:p w14:paraId="2035627C">
      <w:pPr>
        <w:spacing w:line="438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是“均增数列”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</w:p>
    <w:p w14:paraId="477F4839">
      <w:pPr>
        <w:spacing w:line="438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则存在负数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是“均增数列”</w:t>
      </w:r>
    </w:p>
    <w:p w14:paraId="3F5642BD">
      <w:pPr>
        <w:spacing w:line="438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F64F237">
      <w:pPr>
        <w:spacing w:line="438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24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hint="eastAsia" w:eastAsia="方正书宋_GBK"/>
        </w:rPr>
        <w:t>的展开式中各项的二项式系数之和为</w:t>
      </w:r>
      <w:r>
        <w:rPr>
          <w:rFonts w:ascii="NEU-BZ-S92" w:hAnsi="NEU-BZ-S92"/>
        </w:rPr>
        <w:t>64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则展开式中的常数项为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F43B630">
      <w:pPr>
        <w:spacing w:line="438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+ax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CD15950">
      <w:pPr>
        <w:spacing w:line="438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ascii="NEU-BZ-S92" w:hAnsi="NEU-BZ-S92"/>
          <w:i/>
        </w:rPr>
        <w:t>|=|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A=λ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20FF1F6">
      <w:pPr>
        <w:spacing w:line="438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1676C849">
      <w:pPr>
        <w:spacing w:line="438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BE4851">
      <w:pPr>
        <w:spacing w:line="438" w:lineRule="exact"/>
      </w:pPr>
      <w:r>
        <w:rPr>
          <w:rFonts w:hint="eastAsia" w:eastAsia="方正书宋_GBK"/>
        </w:rPr>
        <w:t>某地举办业余乒乓球联赛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比赛分“有缝球型”和“无缝球型”两个赛区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从该地区抽取部分选手进行调研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相关数据如下表</w:t>
      </w:r>
      <w:r>
        <w:rPr>
          <w:rFonts w:ascii="方正书宋_GBK" w:hAnsi="方正书宋_GBK"/>
        </w:rPr>
        <w:t>: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98F800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FD25D76">
            <w:pPr>
              <w:spacing w:line="408" w:lineRule="exact"/>
              <w:jc w:val="center"/>
            </w:pPr>
            <w:r>
              <w:rPr>
                <w:rFonts w:hint="eastAsia" w:eastAsia="方正书宋_GBK"/>
                <w:sz w:val="21"/>
              </w:rPr>
              <w:t>喜欢用有缝球喜欢用无缝球</w:t>
            </w:r>
          </w:p>
        </w:tc>
      </w:tr>
      <w:tr w14:paraId="3633571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E00C0CF">
            <w:pPr>
              <w:spacing w:line="408" w:lineRule="exact"/>
              <w:jc w:val="center"/>
            </w:pPr>
            <w:r>
              <w:rPr>
                <w:rFonts w:hint="eastAsia" w:eastAsia="方正书宋_GBK"/>
                <w:sz w:val="21"/>
              </w:rPr>
              <w:t>直拍打法选手</w:t>
            </w:r>
            <w:r>
              <w:rPr>
                <w:rFonts w:ascii="NEU-BZ-S92" w:hAnsi="NEU-BZ-S92"/>
                <w:sz w:val="21"/>
              </w:rPr>
              <w:t>1830</w:t>
            </w:r>
          </w:p>
        </w:tc>
      </w:tr>
      <w:tr w14:paraId="172B80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A46C844">
            <w:pPr>
              <w:spacing w:line="408" w:lineRule="exact"/>
              <w:jc w:val="center"/>
            </w:pPr>
            <w:r>
              <w:rPr>
                <w:rFonts w:hint="eastAsia" w:eastAsia="方正书宋_GBK"/>
                <w:sz w:val="21"/>
              </w:rPr>
              <w:t>横拍打法选手</w:t>
            </w:r>
            <w:r>
              <w:rPr>
                <w:rFonts w:ascii="NEU-BZ-S92" w:hAnsi="NEU-BZ-S92"/>
                <w:sz w:val="21"/>
              </w:rPr>
              <w:t>2012</w:t>
            </w:r>
          </w:p>
        </w:tc>
      </w:tr>
    </w:tbl>
    <w:p w14:paraId="1078DD98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能否有</w:t>
      </w:r>
      <w:r>
        <w:rPr>
          <w:rFonts w:ascii="NEU-BZ-S92" w:hAnsi="NEU-BZ-S92"/>
        </w:rPr>
        <w:t>95%</w:t>
      </w:r>
      <w:r>
        <w:rPr>
          <w:rFonts w:hint="eastAsia" w:eastAsia="方正书宋_GBK"/>
        </w:rPr>
        <w:t>以上的把握认为不同打法的选手对于有缝球和无缝球的喜好有影响</w:t>
      </w:r>
      <w:r>
        <w:rPr>
          <w:rFonts w:ascii="方正书宋_GBK" w:hAnsi="方正书宋_GBK"/>
        </w:rPr>
        <w:t>?</w:t>
      </w:r>
    </w:p>
    <w:p w14:paraId="74AA228E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从参加调研的“横拍打法”选手中用分层抽样的方法抽取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名选手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按照各自喜爱的球型参加相应赛区的比赛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现从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名选手中选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</w:t>
      </w:r>
      <w:r>
        <w:rPr>
          <w:rFonts w:ascii="NEU-BZ-S92" w:hAnsi="NEU-BZ-S92"/>
        </w:rPr>
        <w:t>AI</w:t>
      </w:r>
      <w:r>
        <w:rPr>
          <w:rFonts w:hint="eastAsia" w:eastAsia="方正书宋_GBK"/>
        </w:rPr>
        <w:t>监测他们的比赛数据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求两个赛区都有人被选中的概率</w:t>
      </w:r>
      <w:r>
        <w:rPr>
          <w:rFonts w:ascii="NEU-BZ-S92" w:hAnsi="NEU-BZ-S92"/>
          <w:i/>
        </w:rPr>
        <w:t>.</w:t>
      </w:r>
    </w:p>
    <w:p w14:paraId="50D58B7C">
      <w:pPr>
        <w:spacing w:line="438" w:lineRule="atLeast"/>
      </w:pPr>
      <w:r>
        <w:rPr>
          <w:rFonts w:hint="eastAsia" w:eastAsia="方正书宋_GBK"/>
        </w:rPr>
        <w:t>附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χ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(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ad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</m:t>
            </m:r>
            <m:r>
              <m:rPr/>
              <w:rPr>
                <w:rFonts w:ascii="Cambria Math" w:hAnsi="Cambria Math"/>
                <w:sz w:val="26"/>
                <w:szCs w:val="26"/>
              </w:rPr>
              <m:t>d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DAAE2C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B70FA45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P</w:t>
            </w:r>
            <w:r>
              <w:rPr>
                <w:rFonts w:ascii="方正书宋_GBK" w:hAnsi="方正书宋_GBK"/>
                <w:sz w:val="21"/>
              </w:rPr>
              <w:t>(</w:t>
            </w:r>
            <w:r>
              <w:rPr>
                <w:rFonts w:ascii="NEU-BZ-S92" w:hAnsi="NEU-BZ-S92"/>
                <w:sz w:val="21"/>
              </w:rPr>
              <w:t>χ</w:t>
            </w:r>
            <w:r>
              <w:rPr>
                <w:rFonts w:ascii="NEU-BZ-S92" w:hAnsi="NEU-BZ-S92"/>
                <w:sz w:val="21"/>
                <w:vertAlign w:val="superscript"/>
              </w:rPr>
              <w:t>2</w:t>
            </w:r>
            <w:r>
              <w:rPr>
                <w:rFonts w:hint="eastAsia" w:eastAsia="NEU-BZ-S92"/>
                <w:sz w:val="21"/>
              </w:rPr>
              <w:t>≥</w:t>
            </w:r>
            <w:r>
              <w:rPr>
                <w:rFonts w:ascii="NEU-BZ-S92" w:hAnsi="NEU-BZ-S92"/>
                <w:sz w:val="21"/>
              </w:rPr>
              <w:t>k</w:t>
            </w:r>
            <w:r>
              <w:rPr>
                <w:rFonts w:ascii="方正书宋_GBK" w:hAnsi="方正书宋_GBK"/>
                <w:sz w:val="21"/>
              </w:rPr>
              <w:t>)</w:t>
            </w:r>
            <w:r>
              <w:rPr>
                <w:rFonts w:ascii="NEU-BZ-S92" w:hAnsi="NEU-BZ-S92"/>
                <w:sz w:val="21"/>
              </w:rPr>
              <w:t>0.1000.0500.010</w:t>
            </w:r>
          </w:p>
        </w:tc>
      </w:tr>
      <w:tr w14:paraId="01D5289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507AFBC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k2.7063.8416.635</w:t>
            </w:r>
          </w:p>
        </w:tc>
      </w:tr>
    </w:tbl>
    <w:p w14:paraId="07EEAA38">
      <w:pPr>
        <w:spacing w:line="438" w:lineRule="exact"/>
      </w:pPr>
    </w:p>
    <w:p w14:paraId="3D764A03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ECBEC14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在四面体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BC=CD=AD=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554DB0F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ACD</w:t>
      </w:r>
      <w:r>
        <w:rPr>
          <w:rFonts w:ascii="方正书宋_GBK" w:hAnsi="方正书宋_GBK"/>
        </w:rPr>
        <w:t>;</w:t>
      </w:r>
    </w:p>
    <w:p w14:paraId="3F4C58C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MN.</w:t>
      </w:r>
    </w:p>
    <w:p w14:paraId="20FF7BEF">
      <w:pPr>
        <w:spacing w:line="410" w:lineRule="atLeast"/>
        <w:jc w:val="center"/>
      </w:pPr>
      <w:r>
        <w:drawing>
          <wp:inline distT="0" distB="0" distL="0" distR="0">
            <wp:extent cx="993140" cy="977900"/>
            <wp:effectExtent l="0" t="0" r="16510" b="12700"/>
            <wp:docPr id="92" name="26sx15.jpg" descr="id:21474898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26sx15.jpg" descr="id:214748985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61CA6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F60A65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&gt;0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,|</m:t>
            </m:r>
            <m:r>
              <m:rPr/>
              <w:rPr>
                <w:rFonts w:ascii="Cambria Math" w:hAnsi="Cambria Math"/>
                <w:sz w:val="24"/>
                <w:szCs w:val="24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77336F8D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90C36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从以下三个条件中选择两个作为已知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</w:t>
      </w:r>
      <w:r>
        <w:rPr>
          <w:rFonts w:ascii="NEU-BZ-S92" w:hAnsi="NEU-BZ-S92"/>
          <w:i/>
        </w:rPr>
        <w:t>ω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A36FE40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上只有最大值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没有最小值</w:t>
      </w:r>
      <w:r>
        <w:rPr>
          <w:rFonts w:ascii="方正书宋_GBK" w:hAnsi="方正书宋_GBK"/>
        </w:rPr>
        <w:t>;</w:t>
      </w:r>
    </w:p>
    <w:p w14:paraId="7974D8B7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个零点</w:t>
      </w:r>
      <w:r>
        <w:rPr>
          <w:rFonts w:ascii="方正书宋_GBK" w:hAnsi="方正书宋_GBK"/>
        </w:rPr>
        <w:t>;</w:t>
      </w:r>
    </w:p>
    <w:p w14:paraId="2F90141C">
      <w:pPr>
        <w:spacing w:line="410" w:lineRule="atLeast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</w:p>
    <w:p w14:paraId="0CF1334D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8CEB39">
      <w:pPr>
        <w:spacing w:line="410" w:lineRule="exac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两点的坐标分别是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的斜率与直线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的斜率的差是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5B7F18A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的轨迹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1476171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上存在三点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x+m</w:t>
      </w:r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</w:p>
    <w:p w14:paraId="34E885AC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56C2A32C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PQR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|PQ|.</w:t>
      </w:r>
    </w:p>
    <w:p w14:paraId="2BB229B5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6F5842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x+ax.</w:t>
      </w:r>
    </w:p>
    <w:p w14:paraId="48C889C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</w:t>
      </w:r>
      <w:r>
        <w:rPr>
          <w:rFonts w:ascii="NEU-BZ-S92" w:hAnsi="NEU-BZ-S92"/>
          <w:i/>
        </w:rPr>
        <w:t>.</w:t>
      </w:r>
    </w:p>
    <w:p w14:paraId="77F76C9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给定数集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任给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对应关系</w:t>
      </w:r>
      <w:r>
        <w:rPr>
          <w:rFonts w:ascii="NEU-BZ-S92" w:hAnsi="NEU-BZ-S92"/>
          <w:i/>
        </w:rPr>
        <w:t>g</w:t>
      </w:r>
      <w:r>
        <w:rPr>
          <w:rFonts w:hint="eastAsia" w:eastAsia="方正书宋_GBK"/>
        </w:rPr>
        <w:t>使函数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对应</w:t>
      </w:r>
      <w:r>
        <w:rPr>
          <w:rFonts w:ascii="NEU-BZ-S92" w:hAnsi="NEU-BZ-S92"/>
          <w:i/>
        </w:rPr>
        <w:t>.</w:t>
      </w:r>
    </w:p>
    <w:p w14:paraId="2A26BBA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并讨论该函数的单调性</w:t>
      </w:r>
      <w:r>
        <w:rPr>
          <w:rFonts w:ascii="方正书宋_GBK" w:hAnsi="方正书宋_GBK"/>
        </w:rPr>
        <w:t>;</w:t>
      </w:r>
    </w:p>
    <w:p w14:paraId="01538AC9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i+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3ADCEBC">
      <w:pPr>
        <w:spacing w:line="410" w:lineRule="exact"/>
      </w:pPr>
    </w:p>
    <w:p w14:paraId="1F7E3F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2BDE"/>
    <w:rsid w:val="349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</Words>
  <Characters>1173</Characters>
  <Lines>0</Lines>
  <Paragraphs>0</Paragraphs>
  <TotalTime>0</TotalTime>
  <ScaleCrop>false</ScaleCrop>
  <LinksUpToDate>false</LinksUpToDate>
  <CharactersWithSpaces>1318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2026-05-11T03:20:36Z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E1AE90C8C2A24E29910F1EA5BE9281BA_12</vt:lpwstr>
  </property>
</Properties>
</file>