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43BAB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DEC8F7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97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B10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安徽省合肥市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届高三第一次教学质量检测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98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BBC361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99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P56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5PaLrUAAAABgEAAA8AAAAAAAAA&#10;AQAgAAAAIgAAAGRycy9kb3ducmV2LnhtbFBLAQIUABQAAAAIAIdO4kDP+ZxFFQIAAFEEAAAOAAAA&#10;AAAAAAEAIAAAACMBAABkcnMvZTJvRG9jLnhtbFBLBQYAAAAABgAGAFkBAACqBQAAAAA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6EDEC8F7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97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B10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安徽省合肥市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届高三第一次教学质量检测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98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BBC361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99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P56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6461CB2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51F87B0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73253E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}</w:t>
      </w:r>
    </w:p>
    <w:p w14:paraId="326DF76B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</w:p>
    <w:p w14:paraId="574C5A1E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a-b=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023146E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3B0332FD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已知空间中三条直线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分别交于不同的三点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三点共线”是“直线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共面”的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593B4B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  <w:r>
        <w:rPr>
          <w:rFonts w:hint="eastAsia" w:eastAsia="方正书宋_GBK"/>
        </w:rPr>
        <w:tab/>
      </w:r>
    </w:p>
    <w:p w14:paraId="75AFFBFA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  <w:r>
        <w:rPr>
          <w:rFonts w:hint="eastAsia" w:eastAsia="方正书宋_GBK"/>
        </w:rPr>
        <w:tab/>
      </w:r>
    </w:p>
    <w:p w14:paraId="532F4227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  <w:r>
        <w:rPr>
          <w:rFonts w:hint="eastAsia" w:eastAsia="方正书宋_GBK"/>
        </w:rPr>
        <w:tab/>
      </w:r>
    </w:p>
    <w:p w14:paraId="4EA0B7EF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1E217002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某公司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名员工的月工资统计表如下</w:t>
      </w:r>
      <w:r>
        <w:rPr>
          <w:rFonts w:ascii="方正书宋_GBK" w:hAnsi="方正书宋_GBK"/>
        </w:rPr>
        <w:t>: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620EF81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C320A8F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工资</w:t>
            </w:r>
            <w:r>
              <w:rPr>
                <w:rFonts w:ascii="NEU-BZ-S92" w:hAnsi="NEU-BZ-S92"/>
                <w:sz w:val="21"/>
              </w:rPr>
              <w:t>/</w:t>
            </w:r>
            <w:r>
              <w:rPr>
                <w:rFonts w:hint="eastAsia" w:eastAsia="方正书宋_GBK"/>
                <w:sz w:val="21"/>
              </w:rPr>
              <w:t>元</w:t>
            </w:r>
            <w:r>
              <w:rPr>
                <w:rFonts w:ascii="NEU-BZ-S92" w:hAnsi="NEU-BZ-S92"/>
                <w:sz w:val="21"/>
              </w:rPr>
              <w:t>360040004400500060007000</w:t>
            </w:r>
          </w:p>
        </w:tc>
      </w:tr>
      <w:tr w14:paraId="51D4DA1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36D4D17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人数</w:t>
            </w:r>
            <w:r>
              <w:rPr>
                <w:rFonts w:ascii="NEU-BZ-S92" w:hAnsi="NEU-BZ-S92"/>
                <w:sz w:val="21"/>
              </w:rPr>
              <w:t>51020753</w:t>
            </w:r>
          </w:p>
        </w:tc>
      </w:tr>
    </w:tbl>
    <w:p w14:paraId="717D2AB6">
      <w:pPr>
        <w:spacing w:line="410" w:lineRule="exact"/>
      </w:pPr>
      <w:r>
        <w:rPr>
          <w:rFonts w:hint="eastAsia" w:eastAsia="方正书宋_GBK"/>
        </w:rPr>
        <w:t>记这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名员工月工资的平均数为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中位数为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众数为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304BD9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a&lt;b=c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a&gt;b=c</w:t>
      </w:r>
      <w:r>
        <w:rPr>
          <w:rFonts w:hint="eastAsia" w:eastAsia="方正书宋_GBK"/>
        </w:rPr>
        <w:tab/>
      </w:r>
    </w:p>
    <w:p w14:paraId="082AE5A9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a=b=c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a=b&gt;c</w:t>
      </w:r>
    </w:p>
    <w:p w14:paraId="1BE48F7E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的两条渐近线分别交于点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5B40392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DB3A961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/>
              <w:rPr>
                <w:rFonts w:ascii="Cambria Math" w:hAnsi="Cambria Math"/>
                <w:sz w:val="24"/>
                <w:szCs w:val="24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48CD680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216593D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国庆假期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某人计划去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五个不同的景点游览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在确定景点的游览顺序时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之前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相邻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则不同的游览顺序共有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78B3E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>种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24</w:t>
      </w:r>
      <w:r>
        <w:rPr>
          <w:rFonts w:hint="eastAsia" w:eastAsia="方正书宋_GBK"/>
        </w:rPr>
        <w:t>种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48</w:t>
      </w:r>
      <w:r>
        <w:rPr>
          <w:rFonts w:hint="eastAsia" w:eastAsia="方正书宋_GBK"/>
        </w:rPr>
        <w:t>种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种</w:t>
      </w:r>
    </w:p>
    <w:p w14:paraId="04C275D7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有且仅有三个零点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1EF94B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</w:p>
    <w:p w14:paraId="134735E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0FF9A9BA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2595ECE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已知正实数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a&lt;b&lt;c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9FF08B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ac&lt;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bc&gt;</w:t>
      </w:r>
      <w:r>
        <w:rPr>
          <w:rFonts w:ascii="NEU-BZ-S92" w:hAnsi="NEU-BZ-S92"/>
        </w:rPr>
        <w:t>1</w:t>
      </w:r>
    </w:p>
    <w:p w14:paraId="356F78FA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ωx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若存在不相等的实数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033841B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35DD46A1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1</w:t>
      </w:r>
    </w:p>
    <w:p w14:paraId="3125BD5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7FC1342B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ω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25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37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0812B401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的直线交抛物线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垂足分别为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0DB4159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hint="eastAsia" w:eastAsia="NEU-BZ-S92"/>
        </w:rPr>
        <w:t>∥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ON</m:t>
            </m:r>
          </m:e>
        </m:acc>
      </m:oMath>
    </w:p>
    <w:p w14:paraId="03B82606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|MF|=|MA|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|OM|=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2698B9F5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|AO|=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|ON|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28B89B2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ABN</w:t>
      </w:r>
      <w:r>
        <w:rPr>
          <w:rFonts w:hint="eastAsia" w:eastAsia="方正书宋_GBK"/>
        </w:rPr>
        <w:t>面积的最小值为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B07707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BF7DB84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8377954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已知圆台的上底面半径为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下底面半径为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若该圆台上、下底面的圆周均在同一个球的球面上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则此球的表面积为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9717011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轴分别交于点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在曲线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PN</m:t>
            </m:r>
          </m:e>
        </m:acc>
      </m:oMath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DB7BB69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06349B17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ABE2C4">
      <w:pPr>
        <w:spacing w:line="410" w:lineRule="exac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0B3ADCD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;</w:t>
      </w:r>
    </w:p>
    <w:p w14:paraId="18CDAA5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求内角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25CCF164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5AAB91">
      <w:pPr>
        <w:spacing w:line="410" w:lineRule="exact"/>
      </w:pPr>
      <w:r>
        <w:rPr>
          <w:rFonts w:hint="eastAsia" w:eastAsia="方正书宋_GBK"/>
        </w:rPr>
        <w:t>一个盒子中有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个大小相同的球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个黄球、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个白球</w:t>
      </w:r>
      <w:r>
        <w:rPr>
          <w:rFonts w:ascii="NEU-BZ-S92" w:hAnsi="NEU-BZ-S92"/>
          <w:i/>
        </w:rPr>
        <w:t>.</w:t>
      </w:r>
    </w:p>
    <w:p w14:paraId="0631B41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随机一次取出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表示取出的球为黄球的个数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的分布列和均值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);</w:t>
      </w:r>
    </w:p>
    <w:p w14:paraId="0E368B5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逐个不放回地随机取出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在整个取球过程中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记“已取出白球的个数始终不小于黄球的个数”为事件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02C8454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A9C7AC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直三棱柱</w:t>
      </w:r>
      <w:r>
        <w:rPr>
          <w:rFonts w:ascii="NEU-BZ-S92" w:hAnsi="NEU-BZ-S92"/>
          <w:i/>
        </w:rPr>
        <w:t>ADF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BCE</w:t>
      </w:r>
      <w:r>
        <w:rPr>
          <w:rFonts w:hint="eastAsia" w:eastAsia="方正书宋_GBK"/>
        </w:rPr>
        <w:t>的所有棱长都为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分别是线段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异于端点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CM=BN.</w:t>
      </w:r>
    </w:p>
    <w:p w14:paraId="629B6B9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;</w:t>
      </w:r>
    </w:p>
    <w:p w14:paraId="0CA48E6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MNA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MNB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467D681B">
      <w:pPr>
        <w:spacing w:line="410" w:lineRule="atLeast"/>
        <w:jc w:val="center"/>
      </w:pPr>
      <w:r>
        <w:drawing>
          <wp:inline distT="0" distB="0" distL="0" distR="0">
            <wp:extent cx="1157605" cy="1148715"/>
            <wp:effectExtent l="0" t="0" r="4445" b="13335"/>
            <wp:docPr id="100" name="26sx31.jpg" descr="id:21474898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26sx31.jpg" descr="id:214748987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120" cy="11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C25B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3E1019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ax</w:t>
      </w:r>
      <w:r>
        <w:rPr>
          <w:rFonts w:ascii="NEU-BZ-S92" w:hAnsi="NEU-BZ-S92"/>
          <w:i/>
        </w:rPr>
        <w:t>.</w:t>
      </w:r>
    </w:p>
    <w:p w14:paraId="18C0E61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方正书宋_GBK" w:hAnsi="方正书宋_GBK"/>
        </w:rPr>
        <w:t>;</w:t>
      </w:r>
    </w:p>
    <w:p w14:paraId="02B2EC5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7C2886E2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&lt;n+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03D5BDD7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9B238D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2567EC1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00CB170C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过点</w:t>
      </w:r>
      <w:r>
        <w:rPr>
          <w:rFonts w:ascii="NEU-BZ-S92" w:hAnsi="NEU-BZ-S92"/>
          <w:i/>
        </w:rPr>
        <w:t>E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的直线交椭圆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</w:p>
    <w:p w14:paraId="36D3180C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为直径的圆过定点</w:t>
      </w:r>
      <w:r>
        <w:rPr>
          <w:rFonts w:ascii="方正书宋_GBK" w:hAnsi="方正书宋_GBK"/>
        </w:rPr>
        <w:t>;</w:t>
      </w:r>
    </w:p>
    <w:p w14:paraId="198C5567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的斜率存在时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的外接圆和内切圆的半径分别为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r+R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=|MN|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.</w:t>
      </w:r>
    </w:p>
    <w:p w14:paraId="3FDA71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C3D9D"/>
    <w:rsid w:val="5ED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1569</Words>
  <Characters>2297</Characters>
  <Lines>0</Lines>
  <Paragraphs>0</Paragraphs>
  <TotalTime>0</TotalTime>
  <ScaleCrop>false</ScaleCrop>
  <LinksUpToDate>false</LinksUpToDate>
  <CharactersWithSpaces>2466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2026-05-11T03:21:32Z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FA005CDAEB634274A02E9979619653F2_12</vt:lpwstr>
  </property>
</Properties>
</file>