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E8EC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6D3BB9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50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C20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江西省南昌市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届高三年级三月测试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51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4F7227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52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P113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006D3BB9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50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C20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江西省南昌市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届高三年级三月测试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51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4F7227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52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P113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1B8A13F2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</w:rPr>
        <w:t>|x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1E1EB29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44D5EF9B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</w:p>
    <w:p w14:paraId="24F4045F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</w:p>
    <w:p w14:paraId="5820BA98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w:r>
        <w:rPr>
          <w:rFonts w:ascii="NEU-BZ-S92" w:hAnsi="NEU-BZ-S92"/>
          <w:i/>
        </w:rPr>
        <w:t>z=-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B8871F2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3DC65055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</w:p>
    <w:p w14:paraId="52D40577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所在的范围是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4EAE7F7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63825B8C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</w:p>
    <w:p w14:paraId="541FA80E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某圆锥的轴截面是一个斜边长为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的等腰直角三角形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则此圆锥的侧面积为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34752EF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π</w:t>
      </w:r>
    </w:p>
    <w:p w14:paraId="546F63A4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16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π</w:t>
      </w:r>
    </w:p>
    <w:p w14:paraId="736DD997">
      <w:pPr>
        <w:spacing w:line="410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4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4"/>
                          <w:szCs w:val="24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,　　　　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≤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+4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&gt;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</m:m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则不等式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的解集为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C291BDA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5392AC86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</w:p>
    <w:p w14:paraId="2DFF1590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44835E7E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</w:p>
    <w:p w14:paraId="59B9E230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3669CFBA">
      <w:pPr>
        <w:spacing w:line="410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在圆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外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ax+by=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有两个公共点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82841E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充分不必要条件</w:t>
      </w:r>
    </w:p>
    <w:p w14:paraId="468DBA9F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必要不充分条件</w:t>
      </w:r>
    </w:p>
    <w:p w14:paraId="1C7F7A63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充要条件</w:t>
      </w:r>
    </w:p>
    <w:p w14:paraId="7F8F3F31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既不充分也不必要条件</w:t>
      </w:r>
    </w:p>
    <w:p w14:paraId="4C77FFC7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&lt;φ&lt;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的部分图象如图所示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E83BB67">
      <w:pPr>
        <w:spacing w:line="410" w:lineRule="atLeast"/>
        <w:jc w:val="center"/>
      </w:pPr>
      <w:r>
        <w:drawing>
          <wp:inline distT="0" distB="0" distL="0" distR="0">
            <wp:extent cx="1350010" cy="1084580"/>
            <wp:effectExtent l="0" t="0" r="2540" b="1270"/>
            <wp:docPr id="153" name="26sx195.jpg" descr="id:21474900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26sx195.jpg" descr="id:2147490020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0360" cy="108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B533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0F81E6E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4FCCA658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+n|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F828F70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n=-</w:t>
      </w:r>
      <w:r>
        <w:rPr>
          <w:rFonts w:ascii="NEU-BZ-S92" w:hAnsi="NEU-BZ-S92"/>
        </w:rPr>
        <w:t>4</w:t>
      </w:r>
    </w:p>
    <w:p w14:paraId="35C33C1B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4</w:t>
      </w:r>
    </w:p>
    <w:p w14:paraId="01E4A3EB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4</w:t>
      </w:r>
    </w:p>
    <w:p w14:paraId="3B973E39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n=-</w:t>
      </w:r>
      <w:r>
        <w:rPr>
          <w:rFonts w:ascii="NEU-BZ-S92" w:hAnsi="NEU-BZ-S92"/>
        </w:rPr>
        <w:t>4</w:t>
      </w:r>
    </w:p>
    <w:p w14:paraId="3638BFF7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6E20734E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a+b=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则下列选项正确的有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7AC2AFF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b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</w:p>
    <w:p w14:paraId="49E3F6BF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9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6B20AB3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在正三棱柱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6BC1590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NPC</w:t>
      </w:r>
      <w:r>
        <w:rPr>
          <w:rFonts w:ascii="NEU-BZ-S92" w:hAnsi="NEU-BZ-S92"/>
          <w:vertAlign w:val="subscript"/>
        </w:rPr>
        <w:t>1</w:t>
      </w:r>
    </w:p>
    <w:p w14:paraId="14A33E00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平面</w:t>
      </w:r>
      <w:r>
        <w:rPr>
          <w:rFonts w:ascii="NEU-BZ-S92" w:hAnsi="NEU-BZ-S92"/>
          <w:i/>
        </w:rPr>
        <w:t>ANC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</w:p>
    <w:p w14:paraId="1768A1A2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</w:p>
    <w:p w14:paraId="5375E112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NPC</w:t>
      </w:r>
      <w:r>
        <w:rPr>
          <w:rFonts w:ascii="NEU-BZ-S92" w:hAnsi="NEU-BZ-S92"/>
          <w:vertAlign w:val="subscript"/>
        </w:rPr>
        <w:t>1</w:t>
      </w:r>
    </w:p>
    <w:p w14:paraId="277B5A6A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动圆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y-r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=r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分别作斜率为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的两条直线与动圆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两切线交于第一象限的点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3DA4D34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|PB|&gt;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4A3E159C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d&lt;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17C75FCD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C511B9C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</m:sup>
        </m:sSup>
      </m:oMath>
      <w:r>
        <w:rPr>
          <w:rFonts w:hint="eastAsia" w:eastAsia="方正书宋_GBK"/>
        </w:rPr>
        <w:t>的展开式中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的系数是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19E5DF82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已知向量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若向量</w:t>
      </w:r>
      <w:r>
        <w:rPr>
          <w:rFonts w:ascii="NEU-HZ-S92" w:hAnsi="NEU-HZ-S92"/>
          <w:i/>
        </w:rPr>
        <w:t>c</w:t>
      </w:r>
      <w:r>
        <w:rPr>
          <w:rFonts w:hint="eastAsia" w:eastAsia="方正书宋_GBK"/>
        </w:rPr>
        <w:t>满足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084ACF16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盒中装有大小相同的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个红球和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个黑球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盒中装有大小相同的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个红球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盒中随机取一个球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若是红球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则放回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盒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若是黑球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则从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盒中取一红球与其替换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这样称为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次操作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重复以上操作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盒中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个球全是红球为止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次重复操作后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盒中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个球恰好全是红球的概率为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D19C73F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77DB4A12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7774622">
      <w:pPr>
        <w:spacing w:line="410" w:lineRule="atLeast"/>
      </w:pPr>
      <w:r>
        <w:rPr>
          <w:rFonts w:hint="eastAsia" w:eastAsia="方正书宋_GBK"/>
        </w:rPr>
        <w:t>已知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所对的边分别为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2sin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cos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DDE3203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;</w:t>
      </w:r>
    </w:p>
    <w:p w14:paraId="208345C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C.</w:t>
      </w:r>
      <w:r>
        <w:rPr>
          <w:rFonts w:hint="eastAsia" w:eastAsia="方正书宋_GBK"/>
        </w:rPr>
        <w:t xml:space="preserve"> </w:t>
      </w:r>
    </w:p>
    <w:p w14:paraId="518ADBFC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7FB4E3">
      <w:pPr>
        <w:spacing w:line="410" w:lineRule="exact"/>
      </w:pPr>
      <w:r>
        <w:rPr>
          <w:rFonts w:hint="eastAsia" w:eastAsia="方正书宋_GBK"/>
        </w:rPr>
        <w:t>近年来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青少年近视问题备受关注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为了探究中学生手机使用习惯与近视之间是否存在关联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某研究小组在某中学随机抽取了</w:t>
      </w:r>
      <w:r>
        <w:rPr>
          <w:rFonts w:ascii="NEU-BZ-S92" w:hAnsi="NEU-BZ-S92"/>
        </w:rPr>
        <w:t>200</w:t>
      </w:r>
      <w:r>
        <w:rPr>
          <w:rFonts w:hint="eastAsia" w:eastAsia="方正书宋_GBK"/>
        </w:rPr>
        <w:t>名学生进行问卷调查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调查项目包括平均每天使用手机的时间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分为“少于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小时”和“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小时及以上”两类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以及是否被医院诊断为近视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分为“是”和“否”两类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调查结果汇总如下表</w:t>
      </w:r>
      <w:r>
        <w:rPr>
          <w:rFonts w:ascii="方正书宋_GBK" w:hAnsi="方正书宋_GBK"/>
        </w:rPr>
        <w:t>:</w:t>
      </w:r>
    </w:p>
    <w:tbl>
      <w:tblPr>
        <w:tblStyle w:val="3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5C5CEE2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81F40EB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使用手机时间近视不近视总计</w:t>
            </w:r>
          </w:p>
        </w:tc>
      </w:tr>
      <w:tr w14:paraId="1EAC38E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74634779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少于</w:t>
            </w:r>
            <w:r>
              <w:rPr>
                <w:rFonts w:ascii="NEU-BZ-S92" w:hAnsi="NEU-BZ-S92"/>
                <w:sz w:val="21"/>
              </w:rPr>
              <w:t>1</w:t>
            </w:r>
            <w:r>
              <w:rPr>
                <w:rFonts w:hint="eastAsia" w:eastAsia="方正书宋_GBK"/>
                <w:sz w:val="21"/>
              </w:rPr>
              <w:t>小时</w:t>
            </w:r>
            <w:r>
              <w:rPr>
                <w:rFonts w:ascii="NEU-BZ-S92" w:hAnsi="NEU-BZ-S92"/>
                <w:sz w:val="21"/>
              </w:rPr>
              <w:t>4060100</w:t>
            </w:r>
          </w:p>
        </w:tc>
      </w:tr>
      <w:tr w14:paraId="33BC262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412D0A4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</w:t>
            </w:r>
            <w:r>
              <w:rPr>
                <w:rFonts w:hint="eastAsia" w:eastAsia="方正书宋_GBK"/>
                <w:sz w:val="21"/>
              </w:rPr>
              <w:t>小时及以上</w:t>
            </w:r>
            <w:r>
              <w:rPr>
                <w:rFonts w:ascii="NEU-BZ-S92" w:hAnsi="NEU-BZ-S92"/>
                <w:sz w:val="21"/>
              </w:rPr>
              <w:t>6535100</w:t>
            </w:r>
          </w:p>
        </w:tc>
      </w:tr>
      <w:tr w14:paraId="2192D24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5C2A3FD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总计</w:t>
            </w:r>
            <w:r>
              <w:rPr>
                <w:rFonts w:ascii="NEU-BZ-S92" w:hAnsi="NEU-BZ-S92"/>
                <w:sz w:val="21"/>
              </w:rPr>
              <w:t>10595200</w:t>
            </w:r>
          </w:p>
        </w:tc>
      </w:tr>
    </w:tbl>
    <w:p w14:paraId="196C3E87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从该校学生中任选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记“该人平均每天使用手机时间少于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小时”为事件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记“该人近视”为事件</w:t>
      </w:r>
      <w:r>
        <w:rPr>
          <w:rFonts w:ascii="NEU-BZ-S92" w:hAnsi="NEU-BZ-S92"/>
          <w:i/>
        </w:rPr>
        <w:t>B.</w:t>
      </w:r>
      <w:r>
        <w:rPr>
          <w:rFonts w:hint="eastAsia" w:eastAsia="方正书宋_GBK"/>
        </w:rPr>
        <w:t>根据上表数据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用频率估计概率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分别估计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e>
        </m:bar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并由此直观判断平均每天使用手机时间与近视是否有关联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简要说明理由</w:t>
      </w:r>
      <w:r>
        <w:rPr>
          <w:rFonts w:ascii="方正书宋_GBK" w:hAnsi="方正书宋_GBK"/>
        </w:rPr>
        <w:t>;</w:t>
      </w:r>
    </w:p>
    <w:p w14:paraId="3D0DC05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利用列联表中的数据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计算卡方统计量</w:t>
      </w:r>
      <w:r>
        <w:rPr>
          <w:rFonts w:ascii="NEU-BZ-S92" w:hAnsi="NEU-BZ-S92"/>
          <w:i/>
        </w:rPr>
        <w:t>χ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精确到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001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并判断是否有</w:t>
      </w:r>
      <w:r>
        <w:rPr>
          <w:rFonts w:ascii="NEU-BZ-S92" w:hAnsi="NEU-BZ-S92"/>
        </w:rPr>
        <w:t>99%</w:t>
      </w:r>
      <w:r>
        <w:rPr>
          <w:rFonts w:hint="eastAsia" w:eastAsia="方正书宋_GBK"/>
        </w:rPr>
        <w:t>的把握认为“平均每天使用手机时间”与“近视”相关</w:t>
      </w:r>
      <w:r>
        <w:rPr>
          <w:rFonts w:ascii="NEU-BZ-S92" w:hAnsi="NEU-BZ-S92"/>
          <w:i/>
        </w:rPr>
        <w:t>.</w:t>
      </w:r>
    </w:p>
    <w:p w14:paraId="1EA5A6CD">
      <w:pPr>
        <w:spacing w:line="410" w:lineRule="atLeast"/>
      </w:pPr>
      <w:r>
        <w:rPr>
          <w:rFonts w:hint="eastAsia" w:eastAsia="方正书宋_GBK"/>
        </w:rPr>
        <w:t>附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公式</w:t>
      </w:r>
      <w:r>
        <w:rPr>
          <w:rFonts w:ascii="NEU-BZ-S92" w:hAnsi="NEU-BZ-S92"/>
          <w:i/>
        </w:rPr>
        <w:t>χ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(</m:t>
                </m:r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ad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-</m:t>
                </m:r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bc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(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χ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独立性检验临界值表</w:t>
      </w:r>
      <w:r>
        <w:rPr>
          <w:rFonts w:ascii="方正书宋_GBK" w:hAnsi="方正书宋_GBK"/>
        </w:rPr>
        <w:t>:</w:t>
      </w:r>
    </w:p>
    <w:tbl>
      <w:tblPr>
        <w:tblStyle w:val="3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55481B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593DD3E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P</w:t>
            </w:r>
            <w:r>
              <w:rPr>
                <w:rFonts w:ascii="方正书宋_GBK" w:hAnsi="方正书宋_GBK"/>
                <w:sz w:val="21"/>
              </w:rPr>
              <w:t>(</w:t>
            </w:r>
            <w:r>
              <w:rPr>
                <w:rFonts w:ascii="NEU-BZ-S92" w:hAnsi="NEU-BZ-S92"/>
                <w:sz w:val="21"/>
              </w:rPr>
              <w:t>χ</w:t>
            </w:r>
            <w:r>
              <w:rPr>
                <w:rFonts w:ascii="NEU-BZ-S92" w:hAnsi="NEU-BZ-S92"/>
                <w:sz w:val="21"/>
                <w:vertAlign w:val="superscript"/>
              </w:rPr>
              <w:t>2</w:t>
            </w:r>
            <w:r>
              <w:rPr>
                <w:rFonts w:hint="eastAsia" w:eastAsia="NEU-BZ-S92"/>
                <w:sz w:val="21"/>
              </w:rPr>
              <w:t>≥</w:t>
            </w:r>
            <w:r>
              <w:rPr>
                <w:rFonts w:ascii="NEU-BZ-S92" w:hAnsi="NEU-BZ-S92"/>
                <w:sz w:val="21"/>
              </w:rPr>
              <w:t>k</w:t>
            </w:r>
            <w:r>
              <w:rPr>
                <w:rFonts w:ascii="方正书宋_GBK" w:hAnsi="方正书宋_GBK"/>
                <w:sz w:val="21"/>
              </w:rPr>
              <w:t>)</w:t>
            </w:r>
            <w:r>
              <w:rPr>
                <w:rFonts w:ascii="NEU-BZ-S92" w:hAnsi="NEU-BZ-S92"/>
                <w:sz w:val="21"/>
              </w:rPr>
              <w:t>0.100.050.0250.0100.0050.001</w:t>
            </w:r>
          </w:p>
        </w:tc>
      </w:tr>
      <w:tr w14:paraId="5145100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7C0FC75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k2.7063.8415.0246.6357.87910.828</w:t>
            </w:r>
          </w:p>
        </w:tc>
      </w:tr>
    </w:tbl>
    <w:p w14:paraId="1B19E06E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8F4752">
      <w:pPr>
        <w:spacing w:line="410" w:lineRule="exact"/>
      </w:pPr>
      <w:r>
        <w:rPr>
          <w:rFonts w:hint="eastAsia" w:eastAsia="方正书宋_GBK"/>
        </w:rPr>
        <w:t>已知等比数列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的公比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为整数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.</w:t>
      </w:r>
    </w:p>
    <w:p w14:paraId="214BDB8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176E4C8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=|na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7099B118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91EDEA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x.</w:t>
      </w:r>
    </w:p>
    <w:p w14:paraId="067191B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的单调区间</w:t>
      </w:r>
      <w:r>
        <w:rPr>
          <w:rFonts w:ascii="方正书宋_GBK" w:hAnsi="方正书宋_GBK"/>
        </w:rPr>
        <w:t>;</w:t>
      </w:r>
    </w:p>
    <w:p w14:paraId="4CC290B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处的切线为</w:t>
      </w:r>
      <w:r>
        <w:rPr>
          <w:rFonts w:ascii="NEU-BZ-S92" w:hAnsi="NEU-BZ-S92"/>
          <w:i/>
        </w:rPr>
        <w:t>y=kx+m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kx+m.</w:t>
      </w:r>
    </w:p>
    <w:p w14:paraId="3AE2C634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2</m:t>
                </m:r>
              </m:sub>
            </m:sSub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1</m:t>
                </m:r>
              </m:sub>
            </m:sSub>
          </m:sup>
        </m:sSup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51CB4B6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574B0E">
      <w:pPr>
        <w:spacing w:line="410" w:lineRule="atLeast"/>
      </w:pPr>
      <w:r>
        <w:rPr>
          <w:rFonts w:hint="eastAsia" w:eastAsia="方正书宋_GBK"/>
        </w:rPr>
        <w:t>已知正方体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的棱长为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对角线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动点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的距离等于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|PF|.</w:t>
      </w:r>
    </w:p>
    <w:p w14:paraId="6504270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体积的最小值</w:t>
      </w:r>
      <w:r>
        <w:rPr>
          <w:rFonts w:ascii="NEU-BZ-S92" w:hAnsi="NEU-BZ-S92"/>
          <w:i/>
        </w:rPr>
        <w:t>.</w:t>
      </w:r>
    </w:p>
    <w:p w14:paraId="300339B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的轨迹为曲线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是曲线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上不同三点</w:t>
      </w:r>
      <w:r>
        <w:rPr>
          <w:rFonts w:ascii="NEU-BZ-S92" w:hAnsi="NEU-BZ-S92"/>
          <w:i/>
        </w:rPr>
        <w:t>.</w:t>
      </w:r>
    </w:p>
    <w:p w14:paraId="696564CB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若平面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与轨迹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相交于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求线段</w:t>
      </w:r>
      <w:r>
        <w:rPr>
          <w:rFonts w:ascii="NEU-BZ-S92" w:hAnsi="NEU-BZ-S92"/>
          <w:i/>
        </w:rPr>
        <w:t>RG</w:t>
      </w:r>
      <w:r>
        <w:rPr>
          <w:rFonts w:hint="eastAsia" w:eastAsia="方正书宋_GBK"/>
        </w:rPr>
        <w:t>的长</w:t>
      </w:r>
      <w:r>
        <w:rPr>
          <w:rFonts w:ascii="NEU-BZ-S92" w:hAnsi="NEU-BZ-S92"/>
          <w:i/>
        </w:rPr>
        <w:t>.</w:t>
      </w:r>
    </w:p>
    <w:p w14:paraId="05B94938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若点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在点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上方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GF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GQ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所成角相等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过</w:t>
      </w:r>
      <w:r>
        <w:rPr>
          <w:rFonts w:ascii="NEU-BZ-S92" w:hAnsi="NEU-BZ-S92"/>
          <w:i/>
        </w:rPr>
        <w:t>RQ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判断平面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的夹角是否为定值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若是定值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求出这个夹角的余弦值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若不是定值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120E26AD">
      <w:pPr>
        <w:spacing w:line="410" w:lineRule="atLeast"/>
        <w:jc w:val="center"/>
      </w:pPr>
      <w:r>
        <w:drawing>
          <wp:inline distT="0" distB="0" distL="0" distR="0">
            <wp:extent cx="1252220" cy="1121410"/>
            <wp:effectExtent l="0" t="0" r="5080" b="2540"/>
            <wp:docPr id="154" name="26sx196.jpg" descr="id:21474900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26sx196.jpg" descr="id:2147490043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2800" cy="11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D14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520CF"/>
    <w:rsid w:val="2A83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1844</Words>
  <Characters>2339</Characters>
  <Lines>0</Lines>
  <Paragraphs>0</Paragraphs>
  <TotalTime>0</TotalTime>
  <ScaleCrop>false</ScaleCrop>
  <LinksUpToDate>false</LinksUpToDate>
  <CharactersWithSpaces>2504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2025-06-03T05:51:00Z</dcterms:created>
  <dc:creator>Administrator</dc:creator>
  <cp:lastModifiedBy>【       】</cp:lastModifiedBy>
  <dcterms:modified xsi:type="dcterms:W3CDTF">2026-05-11T03:25:08Z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2729E4C748CA49A2866E20A834CFAF9D_12</vt:lpwstr>
  </property>
</Properties>
</file>